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018397">
      <w:pPr>
        <w:rPr>
          <w:rFonts w:hint="eastAsia" w:ascii="方正公文小标宋" w:hAnsi="方正公文小标宋" w:eastAsia="方正公文小标宋" w:cs="方正公文小标宋"/>
          <w:sz w:val="28"/>
          <w:szCs w:val="28"/>
        </w:rPr>
      </w:pPr>
      <w:r>
        <w:rPr>
          <w:rFonts w:hint="eastAsia" w:ascii="方正公文小标宋" w:hAnsi="方正公文小标宋" w:eastAsia="方正公文小标宋" w:cs="方正公文小标宋"/>
          <w:b/>
          <w:bCs/>
          <w:sz w:val="28"/>
          <w:szCs w:val="28"/>
          <w:lang w:val="en-US" w:eastAsia="zh-CN"/>
        </w:rPr>
        <w:t>空压管道技术指标要求</w:t>
      </w:r>
      <w:r>
        <w:rPr>
          <w:rFonts w:hint="eastAsia" w:ascii="方正公文小标宋" w:hAnsi="方正公文小标宋" w:eastAsia="方正公文小标宋" w:cs="方正公文小标宋"/>
          <w:sz w:val="28"/>
          <w:szCs w:val="28"/>
        </w:rPr>
        <w:t>：</w:t>
      </w:r>
      <w:bookmarkStart w:id="0" w:name="_GoBack"/>
      <w:bookmarkEnd w:id="0"/>
    </w:p>
    <w:p w14:paraId="74DCCCB2">
      <w:pPr>
        <w:rPr>
          <w:rFonts w:hint="eastAsia" w:asciiTheme="minorEastAsia" w:hAnsiTheme="minorEastAsia" w:eastAsiaTheme="minorEastAsia" w:cstheme="minorEastAsia"/>
          <w:color w:val="auto"/>
          <w:spacing w:val="-6"/>
          <w:sz w:val="24"/>
          <w:szCs w:val="24"/>
        </w:rPr>
      </w:pPr>
      <w:r>
        <w:rPr>
          <w:rFonts w:hint="eastAsia" w:asciiTheme="minorEastAsia" w:hAnsiTheme="minorEastAsia" w:eastAsiaTheme="minorEastAsia" w:cstheme="minorEastAsia"/>
          <w:color w:val="auto"/>
          <w:spacing w:val="-6"/>
          <w:sz w:val="24"/>
          <w:szCs w:val="24"/>
        </w:rPr>
        <w:t>1、管道采用无缝挤压刚性铝合金管，管道内壁光滑</w:t>
      </w:r>
      <w:r>
        <w:rPr>
          <w:rFonts w:hint="eastAsia" w:asciiTheme="minorEastAsia" w:hAnsiTheme="minorEastAsia" w:eastAsiaTheme="minorEastAsia" w:cstheme="minorEastAsia"/>
          <w:color w:val="auto"/>
          <w:spacing w:val="-6"/>
          <w:sz w:val="24"/>
          <w:szCs w:val="24"/>
          <w:lang w:eastAsia="zh-CN"/>
        </w:rPr>
        <w:t>、</w:t>
      </w:r>
      <w:r>
        <w:rPr>
          <w:rFonts w:hint="eastAsia" w:asciiTheme="minorEastAsia" w:hAnsiTheme="minorEastAsia" w:eastAsiaTheme="minorEastAsia" w:cstheme="minorEastAsia"/>
          <w:color w:val="auto"/>
          <w:spacing w:val="-6"/>
          <w:sz w:val="24"/>
          <w:szCs w:val="24"/>
        </w:rPr>
        <w:t>圆形全通径</w:t>
      </w:r>
      <w:r>
        <w:rPr>
          <w:rFonts w:hint="eastAsia" w:asciiTheme="minorEastAsia" w:hAnsiTheme="minorEastAsia" w:eastAsiaTheme="minorEastAsia" w:cstheme="minorEastAsia"/>
          <w:color w:val="auto"/>
          <w:spacing w:val="-6"/>
          <w:sz w:val="24"/>
          <w:szCs w:val="24"/>
          <w:lang w:eastAsia="zh-CN"/>
        </w:rPr>
        <w:t>，</w:t>
      </w:r>
      <w:r>
        <w:rPr>
          <w:rFonts w:hint="eastAsia" w:asciiTheme="minorEastAsia" w:hAnsiTheme="minorEastAsia" w:eastAsiaTheme="minorEastAsia" w:cstheme="minorEastAsia"/>
          <w:b/>
          <w:bCs/>
          <w:color w:val="auto"/>
          <w:spacing w:val="-6"/>
          <w:sz w:val="24"/>
          <w:szCs w:val="24"/>
          <w:highlight w:val="yellow"/>
          <w:lang w:val="en-US" w:eastAsia="zh-CN"/>
        </w:rPr>
        <w:t>安装工艺必须为外凸不允许内凹</w:t>
      </w:r>
      <w:r>
        <w:rPr>
          <w:rFonts w:hint="eastAsia" w:asciiTheme="minorEastAsia" w:hAnsiTheme="minorEastAsia" w:cstheme="minorEastAsia"/>
          <w:b/>
          <w:bCs/>
          <w:color w:val="auto"/>
          <w:spacing w:val="-6"/>
          <w:sz w:val="24"/>
          <w:szCs w:val="24"/>
          <w:highlight w:val="yellow"/>
          <w:lang w:val="en-US" w:eastAsia="zh-CN"/>
        </w:rPr>
        <w:t>，</w:t>
      </w:r>
      <w:r>
        <w:rPr>
          <w:rFonts w:hint="eastAsia" w:asciiTheme="minorEastAsia" w:hAnsiTheme="minorEastAsia" w:eastAsiaTheme="minorEastAsia" w:cstheme="minorEastAsia"/>
          <w:b/>
          <w:bCs/>
          <w:color w:val="auto"/>
          <w:spacing w:val="-6"/>
          <w:sz w:val="24"/>
          <w:szCs w:val="24"/>
          <w:highlight w:val="yellow"/>
          <w:lang w:val="en-US" w:eastAsia="zh-CN"/>
        </w:rPr>
        <w:t>为了避免增加管道内壁的气流阻力</w:t>
      </w:r>
      <w:r>
        <w:rPr>
          <w:rFonts w:hint="eastAsia" w:asciiTheme="minorEastAsia" w:hAnsiTheme="minorEastAsia" w:eastAsiaTheme="minorEastAsia" w:cstheme="minorEastAsia"/>
          <w:color w:val="auto"/>
          <w:spacing w:val="-6"/>
          <w:sz w:val="24"/>
          <w:szCs w:val="24"/>
        </w:rPr>
        <w:t>，管道系统要求全流量连接和低摩擦内表面，在正常使用情况下不被腐蚀、不发生泄漏、能适合热变化环境，对于带有生产LOGO的管材和连接件需具有：</w:t>
      </w:r>
      <w:r>
        <w:rPr>
          <w:rFonts w:hint="eastAsia" w:asciiTheme="minorEastAsia" w:hAnsiTheme="minorEastAsia" w:eastAsiaTheme="minorEastAsia" w:cstheme="minorEastAsia"/>
          <w:b/>
          <w:bCs/>
          <w:color w:val="auto"/>
          <w:spacing w:val="-6"/>
          <w:sz w:val="24"/>
          <w:szCs w:val="24"/>
          <w:highlight w:val="yellow"/>
        </w:rPr>
        <w:t>材料可以百分之百回收，重复</w:t>
      </w:r>
      <w:r>
        <w:rPr>
          <w:rFonts w:hint="eastAsia" w:asciiTheme="minorEastAsia" w:hAnsiTheme="minorEastAsia" w:eastAsiaTheme="minorEastAsia" w:cstheme="minorEastAsia"/>
          <w:b/>
          <w:bCs/>
          <w:color w:val="auto"/>
          <w:spacing w:val="-6"/>
          <w:sz w:val="24"/>
          <w:szCs w:val="24"/>
          <w:highlight w:val="yellow"/>
          <w:lang w:val="en-US" w:eastAsia="zh-CN"/>
        </w:rPr>
        <w:t>拆装</w:t>
      </w:r>
      <w:r>
        <w:rPr>
          <w:rFonts w:hint="eastAsia" w:asciiTheme="minorEastAsia" w:hAnsiTheme="minorEastAsia" w:eastAsiaTheme="minorEastAsia" w:cstheme="minorEastAsia"/>
          <w:b/>
          <w:bCs/>
          <w:color w:val="auto"/>
          <w:spacing w:val="-6"/>
          <w:sz w:val="24"/>
          <w:szCs w:val="24"/>
          <w:highlight w:val="yellow"/>
        </w:rPr>
        <w:t>使用</w:t>
      </w:r>
      <w:r>
        <w:rPr>
          <w:rFonts w:hint="eastAsia" w:asciiTheme="minorEastAsia" w:hAnsiTheme="minorEastAsia" w:eastAsiaTheme="minorEastAsia" w:cstheme="minorEastAsia"/>
          <w:color w:val="auto"/>
          <w:spacing w:val="-6"/>
          <w:sz w:val="24"/>
          <w:szCs w:val="24"/>
        </w:rPr>
        <w:t>。</w:t>
      </w:r>
    </w:p>
    <w:p w14:paraId="3A54447A">
      <w:pPr>
        <w:rPr>
          <w:rFonts w:hint="eastAsia" w:asciiTheme="minorEastAsia" w:hAnsiTheme="minorEastAsia" w:eastAsiaTheme="minorEastAsia" w:cstheme="minorEastAsia"/>
          <w:color w:val="auto"/>
          <w:spacing w:val="-6"/>
          <w:sz w:val="24"/>
          <w:szCs w:val="24"/>
        </w:rPr>
      </w:pPr>
      <w:r>
        <w:rPr>
          <w:rFonts w:hint="eastAsia" w:asciiTheme="minorEastAsia" w:hAnsiTheme="minorEastAsia" w:eastAsiaTheme="minorEastAsia" w:cstheme="minorEastAsia"/>
          <w:color w:val="auto"/>
          <w:spacing w:val="-6"/>
          <w:sz w:val="24"/>
          <w:szCs w:val="24"/>
        </w:rPr>
        <w:t>2、铝合金管道所选用的管材和管件，应具备国家认可的第三方产品检查机构的产品检查报告和产品出厂检验报告及合格证；</w:t>
      </w:r>
    </w:p>
    <w:p w14:paraId="298F595A">
      <w:pPr>
        <w:rPr>
          <w:rFonts w:hint="eastAsia" w:asciiTheme="minorEastAsia" w:hAnsiTheme="minorEastAsia" w:eastAsiaTheme="minorEastAsia" w:cstheme="minorEastAsia"/>
          <w:color w:val="auto"/>
          <w:spacing w:val="-6"/>
          <w:sz w:val="24"/>
          <w:szCs w:val="24"/>
        </w:rPr>
      </w:pPr>
      <w:r>
        <w:rPr>
          <w:rFonts w:hint="eastAsia" w:asciiTheme="minorEastAsia" w:hAnsiTheme="minorEastAsia" w:eastAsiaTheme="minorEastAsia" w:cstheme="minorEastAsia"/>
          <w:color w:val="auto"/>
          <w:spacing w:val="-6"/>
          <w:sz w:val="24"/>
          <w:szCs w:val="24"/>
        </w:rPr>
        <w:t>3、材质要求：</w:t>
      </w:r>
    </w:p>
    <w:p w14:paraId="44CCDD4F">
      <w:pPr>
        <w:rPr>
          <w:rFonts w:hint="eastAsia" w:asciiTheme="minorEastAsia" w:hAnsiTheme="minorEastAsia" w:eastAsiaTheme="minorEastAsia" w:cstheme="minorEastAsia"/>
          <w:color w:val="auto"/>
          <w:spacing w:val="-6"/>
          <w:sz w:val="24"/>
          <w:szCs w:val="24"/>
        </w:rPr>
      </w:pPr>
      <w:r>
        <w:rPr>
          <w:rFonts w:hint="eastAsia" w:asciiTheme="minorEastAsia" w:hAnsiTheme="minorEastAsia" w:eastAsiaTheme="minorEastAsia" w:cstheme="minorEastAsia"/>
          <w:color w:val="auto"/>
          <w:spacing w:val="-6"/>
          <w:sz w:val="24"/>
          <w:szCs w:val="24"/>
        </w:rPr>
        <w:t>（1）铝合金管采用GB/T 4437.1-2015《铝及铝合金热挤压管 第一部分:无缝圆管》中6063牌号，化学成分</w:t>
      </w:r>
    </w:p>
    <w:p w14:paraId="41FB19A6">
      <w:pPr>
        <w:rPr>
          <w:rFonts w:hint="eastAsia" w:asciiTheme="minorEastAsia" w:hAnsiTheme="minorEastAsia" w:eastAsiaTheme="minorEastAsia" w:cstheme="minorEastAsia"/>
          <w:color w:val="auto"/>
          <w:spacing w:val="-6"/>
          <w:sz w:val="24"/>
          <w:szCs w:val="24"/>
          <w:highlight w:val="none"/>
        </w:rPr>
      </w:pPr>
      <w:r>
        <w:rPr>
          <w:rFonts w:hint="eastAsia" w:asciiTheme="minorEastAsia" w:hAnsiTheme="minorEastAsia" w:eastAsiaTheme="minorEastAsia" w:cstheme="minorEastAsia"/>
          <w:color w:val="auto"/>
          <w:spacing w:val="-6"/>
          <w:sz w:val="24"/>
          <w:szCs w:val="24"/>
        </w:rPr>
        <w:t>应符合GB/T 3190-2008《变形铝及铝合金化学成分》的规定，密度2.7Kg/dm3，</w:t>
      </w:r>
      <w:r>
        <w:rPr>
          <w:rFonts w:hint="eastAsia" w:asciiTheme="minorEastAsia" w:hAnsiTheme="minorEastAsia" w:eastAsiaTheme="minorEastAsia" w:cstheme="minorEastAsia"/>
          <w:b/>
          <w:bCs/>
          <w:color w:val="auto"/>
          <w:spacing w:val="-6"/>
          <w:sz w:val="24"/>
          <w:szCs w:val="24"/>
          <w:highlight w:val="yellow"/>
        </w:rPr>
        <w:t>涂层为静电喷涂，采用特殊粉料，厚度=70+/-10um</w:t>
      </w:r>
      <w:r>
        <w:rPr>
          <w:rFonts w:hint="eastAsia" w:asciiTheme="minorEastAsia" w:hAnsiTheme="minorEastAsia" w:eastAsiaTheme="minorEastAsia" w:cstheme="minorEastAsia"/>
          <w:color w:val="auto"/>
          <w:spacing w:val="-6"/>
          <w:sz w:val="24"/>
          <w:szCs w:val="24"/>
          <w:highlight w:val="none"/>
        </w:rPr>
        <w:t>。</w:t>
      </w:r>
    </w:p>
    <w:p w14:paraId="4D3D2EEF">
      <w:pPr>
        <w:rPr>
          <w:rFonts w:hint="eastAsia" w:asciiTheme="minorEastAsia" w:hAnsiTheme="minorEastAsia" w:eastAsiaTheme="minorEastAsia" w:cstheme="minorEastAsia"/>
          <w:color w:val="auto"/>
          <w:spacing w:val="-6"/>
          <w:sz w:val="24"/>
          <w:szCs w:val="24"/>
          <w:highlight w:val="none"/>
        </w:rPr>
      </w:pPr>
      <w:r>
        <w:rPr>
          <w:rFonts w:hint="eastAsia" w:asciiTheme="minorEastAsia" w:hAnsiTheme="minorEastAsia" w:eastAsiaTheme="minorEastAsia" w:cstheme="minorEastAsia"/>
          <w:color w:val="auto"/>
          <w:spacing w:val="-6"/>
          <w:sz w:val="24"/>
          <w:szCs w:val="24"/>
          <w:highlight w:val="none"/>
        </w:rPr>
        <w:t>4、要求管道承压达到：1.6Mpa；耐压性能检验应符合符合GB/T 241-2007《金属管 试验方法》的规定；适用温度范围为-29～+80℃；</w:t>
      </w:r>
    </w:p>
    <w:p w14:paraId="43C624F8">
      <w:pPr>
        <w:rPr>
          <w:rFonts w:hint="eastAsia" w:asciiTheme="minorEastAsia" w:hAnsiTheme="minorEastAsia" w:eastAsiaTheme="minorEastAsia" w:cstheme="minorEastAsia"/>
          <w:b/>
          <w:bCs/>
          <w:color w:val="auto"/>
          <w:spacing w:val="-6"/>
          <w:sz w:val="24"/>
          <w:szCs w:val="24"/>
          <w:highlight w:val="yellow"/>
        </w:rPr>
      </w:pPr>
      <w:r>
        <w:rPr>
          <w:rFonts w:hint="eastAsia" w:asciiTheme="minorEastAsia" w:hAnsiTheme="minorEastAsia" w:eastAsiaTheme="minorEastAsia" w:cstheme="minorEastAsia"/>
          <w:b/>
          <w:bCs/>
          <w:color w:val="auto"/>
          <w:spacing w:val="-6"/>
          <w:sz w:val="24"/>
          <w:szCs w:val="24"/>
          <w:highlight w:val="yellow"/>
        </w:rPr>
        <w:t>5、</w:t>
      </w:r>
      <w:r>
        <w:rPr>
          <w:rFonts w:hint="eastAsia" w:asciiTheme="minorEastAsia" w:hAnsiTheme="minorEastAsia" w:eastAsiaTheme="minorEastAsia" w:cstheme="minorEastAsia"/>
          <w:b/>
          <w:bCs/>
          <w:color w:val="auto"/>
          <w:spacing w:val="-6"/>
          <w:sz w:val="24"/>
          <w:szCs w:val="24"/>
          <w:highlight w:val="yellow"/>
        </w:rPr>
        <w:t>连接方式：De20-De42规格采用齿环螺母锁紧不锈钢内件连接；DN50～DN200规格采用凸管锁紧上下抱环结构内六角螺杆连接；使管道安装时效性更快、更便捷。</w:t>
      </w:r>
    </w:p>
    <w:p w14:paraId="3ED83CD3">
      <w:pPr>
        <w:rPr>
          <w:rFonts w:hint="eastAsia" w:asciiTheme="minorEastAsia" w:hAnsiTheme="minorEastAsia" w:eastAsiaTheme="minorEastAsia" w:cstheme="minorEastAsia"/>
          <w:color w:val="auto"/>
          <w:spacing w:val="-6"/>
          <w:sz w:val="24"/>
          <w:szCs w:val="24"/>
          <w:highlight w:val="none"/>
        </w:rPr>
      </w:pPr>
      <w:r>
        <w:rPr>
          <w:rFonts w:hint="eastAsia" w:asciiTheme="minorEastAsia" w:hAnsiTheme="minorEastAsia" w:eastAsiaTheme="minorEastAsia" w:cstheme="minorEastAsia"/>
          <w:b/>
          <w:bCs/>
          <w:color w:val="auto"/>
          <w:spacing w:val="-6"/>
          <w:sz w:val="24"/>
          <w:szCs w:val="24"/>
          <w:highlight w:val="yellow"/>
          <w:lang w:val="en-US" w:eastAsia="zh-CN"/>
        </w:rPr>
        <w:t>6</w:t>
      </w:r>
      <w:r>
        <w:rPr>
          <w:rFonts w:hint="eastAsia" w:asciiTheme="minorEastAsia" w:hAnsiTheme="minorEastAsia" w:eastAsiaTheme="minorEastAsia" w:cstheme="minorEastAsia"/>
          <w:b/>
          <w:bCs/>
          <w:color w:val="auto"/>
          <w:spacing w:val="-6"/>
          <w:sz w:val="24"/>
          <w:szCs w:val="24"/>
          <w:highlight w:val="yellow"/>
        </w:rPr>
        <w:t>、为统一热膨胀系数，杜绝不同金属材料形成的电化学反应造成管网系统的不稳定性，所有管件除阀门以外应全部为铝合金材料。</w:t>
      </w:r>
    </w:p>
    <w:p w14:paraId="5550902F">
      <w:pPr>
        <w:rPr>
          <w:rFonts w:hint="eastAsia" w:asciiTheme="minorEastAsia" w:hAnsiTheme="minorEastAsia" w:eastAsiaTheme="minorEastAsia" w:cstheme="minorEastAsia"/>
          <w:color w:val="auto"/>
          <w:spacing w:val="-6"/>
          <w:sz w:val="24"/>
          <w:szCs w:val="24"/>
          <w:highlight w:val="none"/>
        </w:rPr>
      </w:pPr>
      <w:r>
        <w:rPr>
          <w:rFonts w:hint="eastAsia" w:asciiTheme="minorEastAsia" w:hAnsiTheme="minorEastAsia" w:eastAsiaTheme="minorEastAsia" w:cstheme="minorEastAsia"/>
          <w:color w:val="auto"/>
          <w:spacing w:val="-6"/>
          <w:sz w:val="24"/>
          <w:szCs w:val="24"/>
          <w:highlight w:val="none"/>
          <w:lang w:val="en-US" w:eastAsia="zh-CN"/>
        </w:rPr>
        <w:t>7</w:t>
      </w:r>
      <w:r>
        <w:rPr>
          <w:rFonts w:hint="eastAsia" w:asciiTheme="minorEastAsia" w:hAnsiTheme="minorEastAsia" w:eastAsiaTheme="minorEastAsia" w:cstheme="minorEastAsia"/>
          <w:color w:val="auto"/>
          <w:spacing w:val="-6"/>
          <w:sz w:val="24"/>
          <w:szCs w:val="24"/>
          <w:highlight w:val="none"/>
        </w:rPr>
        <w:t>、管道及管件因具有第三方权威机构耐盐雾腐蚀性报告，500H中性盐雾试验，外观等级10级合格；</w:t>
      </w:r>
    </w:p>
    <w:p w14:paraId="27690320">
      <w:pPr>
        <w:rPr>
          <w:rFonts w:hint="eastAsia" w:asciiTheme="minorEastAsia" w:hAnsiTheme="minorEastAsia" w:eastAsiaTheme="minorEastAsia" w:cstheme="minorEastAsia"/>
          <w:color w:val="auto"/>
          <w:spacing w:val="-6"/>
          <w:sz w:val="24"/>
          <w:szCs w:val="24"/>
          <w:highlight w:val="none"/>
        </w:rPr>
      </w:pPr>
      <w:r>
        <w:rPr>
          <w:rFonts w:hint="eastAsia" w:asciiTheme="minorEastAsia" w:hAnsiTheme="minorEastAsia" w:eastAsiaTheme="minorEastAsia" w:cstheme="minorEastAsia"/>
          <w:color w:val="auto"/>
          <w:spacing w:val="-6"/>
          <w:sz w:val="24"/>
          <w:szCs w:val="24"/>
          <w:highlight w:val="none"/>
          <w:lang w:val="en-US" w:eastAsia="zh-CN"/>
        </w:rPr>
        <w:t>8</w:t>
      </w:r>
      <w:r>
        <w:rPr>
          <w:rFonts w:hint="eastAsia" w:asciiTheme="minorEastAsia" w:hAnsiTheme="minorEastAsia" w:eastAsiaTheme="minorEastAsia" w:cstheme="minorEastAsia"/>
          <w:color w:val="auto"/>
          <w:spacing w:val="-6"/>
          <w:sz w:val="24"/>
          <w:szCs w:val="24"/>
          <w:highlight w:val="none"/>
        </w:rPr>
        <w:t>、管道外壁颜色根据国际标准执行。</w:t>
      </w:r>
    </w:p>
    <w:p w14:paraId="7F6720C1">
      <w:pPr>
        <w:rPr>
          <w:rFonts w:hint="eastAsia" w:asciiTheme="minorEastAsia" w:hAnsiTheme="minorEastAsia" w:eastAsiaTheme="minorEastAsia" w:cstheme="minorEastAsia"/>
          <w:color w:val="auto"/>
          <w:spacing w:val="-6"/>
          <w:sz w:val="24"/>
          <w:szCs w:val="24"/>
          <w:highlight w:val="none"/>
        </w:rPr>
      </w:pPr>
      <w:r>
        <w:rPr>
          <w:rFonts w:hint="eastAsia" w:asciiTheme="minorEastAsia" w:hAnsiTheme="minorEastAsia" w:eastAsiaTheme="minorEastAsia" w:cstheme="minorEastAsia"/>
          <w:color w:val="auto"/>
          <w:spacing w:val="-6"/>
          <w:sz w:val="24"/>
          <w:szCs w:val="24"/>
          <w:highlight w:val="none"/>
          <w:lang w:val="en-US" w:eastAsia="zh-CN"/>
        </w:rPr>
        <w:t>9</w:t>
      </w:r>
      <w:r>
        <w:rPr>
          <w:rFonts w:hint="eastAsia" w:asciiTheme="minorEastAsia" w:hAnsiTheme="minorEastAsia" w:eastAsiaTheme="minorEastAsia" w:cstheme="minorEastAsia"/>
          <w:color w:val="auto"/>
          <w:spacing w:val="-6"/>
          <w:sz w:val="24"/>
          <w:szCs w:val="24"/>
          <w:highlight w:val="none"/>
        </w:rPr>
        <w:t>、</w:t>
      </w:r>
      <w:r>
        <w:rPr>
          <w:rFonts w:hint="eastAsia" w:asciiTheme="minorEastAsia" w:hAnsiTheme="minorEastAsia" w:eastAsiaTheme="minorEastAsia" w:cstheme="minorEastAsia"/>
          <w:b/>
          <w:bCs/>
          <w:color w:val="auto"/>
          <w:spacing w:val="-6"/>
          <w:sz w:val="24"/>
          <w:szCs w:val="24"/>
          <w:highlight w:val="yellow"/>
        </w:rPr>
        <w:t>管道密封性能完好。使用最为稳定的线型“O型圈”密封方式。</w:t>
      </w:r>
      <w:r>
        <w:rPr>
          <w:rFonts w:hint="eastAsia" w:asciiTheme="minorEastAsia" w:hAnsiTheme="minorEastAsia" w:eastAsiaTheme="minorEastAsia" w:cstheme="minorEastAsia"/>
          <w:color w:val="auto"/>
          <w:spacing w:val="-6"/>
          <w:sz w:val="24"/>
          <w:szCs w:val="24"/>
          <w:highlight w:val="none"/>
        </w:rPr>
        <w:t>橡胶密封圈不应含有对其使用寿命及对输送管路和零配件有危害的物质，通常压缩空气介质管道采用丁腈橡胶密封。</w:t>
      </w:r>
    </w:p>
    <w:p w14:paraId="571CCAF5">
      <w:pPr>
        <w:rPr>
          <w:rFonts w:hint="eastAsia" w:asciiTheme="minorEastAsia" w:hAnsiTheme="minorEastAsia" w:eastAsiaTheme="minorEastAsia" w:cstheme="minorEastAsia"/>
          <w:color w:val="auto"/>
          <w:spacing w:val="-6"/>
          <w:sz w:val="24"/>
          <w:szCs w:val="24"/>
          <w:highlight w:val="none"/>
        </w:rPr>
      </w:pPr>
      <w:r>
        <w:rPr>
          <w:rFonts w:hint="eastAsia" w:asciiTheme="minorEastAsia" w:hAnsiTheme="minorEastAsia" w:eastAsiaTheme="minorEastAsia" w:cstheme="minorEastAsia"/>
          <w:color w:val="auto"/>
          <w:spacing w:val="-6"/>
          <w:sz w:val="24"/>
          <w:szCs w:val="24"/>
          <w:highlight w:val="none"/>
        </w:rPr>
        <w:t>1</w:t>
      </w:r>
      <w:r>
        <w:rPr>
          <w:rFonts w:hint="eastAsia" w:asciiTheme="minorEastAsia" w:hAnsiTheme="minorEastAsia" w:eastAsiaTheme="minorEastAsia" w:cstheme="minorEastAsia"/>
          <w:color w:val="auto"/>
          <w:spacing w:val="-6"/>
          <w:sz w:val="24"/>
          <w:szCs w:val="24"/>
          <w:highlight w:val="none"/>
          <w:lang w:val="en-US" w:eastAsia="zh-CN"/>
        </w:rPr>
        <w:t>0</w:t>
      </w:r>
      <w:r>
        <w:rPr>
          <w:rFonts w:hint="eastAsia" w:asciiTheme="minorEastAsia" w:hAnsiTheme="minorEastAsia" w:eastAsiaTheme="minorEastAsia" w:cstheme="minorEastAsia"/>
          <w:color w:val="auto"/>
          <w:spacing w:val="-6"/>
          <w:sz w:val="24"/>
          <w:szCs w:val="24"/>
          <w:highlight w:val="none"/>
        </w:rPr>
        <w:t>、所有管材、管件、阀门、软管及其它附件都是不易燃，具有防火性。</w:t>
      </w:r>
    </w:p>
    <w:p w14:paraId="055AA132">
      <w:pPr>
        <w:rPr>
          <w:rFonts w:hint="eastAsia" w:asciiTheme="minorEastAsia" w:hAnsiTheme="minorEastAsia" w:eastAsiaTheme="minorEastAsia" w:cstheme="minorEastAsia"/>
          <w:color w:val="auto"/>
          <w:spacing w:val="-6"/>
          <w:sz w:val="24"/>
          <w:szCs w:val="24"/>
          <w:highlight w:val="none"/>
        </w:rPr>
      </w:pPr>
      <w:r>
        <w:rPr>
          <w:rFonts w:hint="eastAsia" w:asciiTheme="minorEastAsia" w:hAnsiTheme="minorEastAsia" w:eastAsiaTheme="minorEastAsia" w:cstheme="minorEastAsia"/>
          <w:color w:val="auto"/>
          <w:spacing w:val="-6"/>
          <w:sz w:val="24"/>
          <w:szCs w:val="24"/>
          <w:highlight w:val="none"/>
        </w:rPr>
        <w:t>1</w:t>
      </w:r>
      <w:r>
        <w:rPr>
          <w:rFonts w:hint="eastAsia" w:asciiTheme="minorEastAsia" w:hAnsiTheme="minorEastAsia" w:eastAsiaTheme="minorEastAsia" w:cstheme="minorEastAsia"/>
          <w:color w:val="auto"/>
          <w:spacing w:val="-6"/>
          <w:sz w:val="24"/>
          <w:szCs w:val="24"/>
          <w:highlight w:val="none"/>
          <w:lang w:val="en-US" w:eastAsia="zh-CN"/>
        </w:rPr>
        <w:t>1</w:t>
      </w:r>
      <w:r>
        <w:rPr>
          <w:rFonts w:hint="eastAsia" w:asciiTheme="minorEastAsia" w:hAnsiTheme="minorEastAsia" w:eastAsiaTheme="minorEastAsia" w:cstheme="minorEastAsia"/>
          <w:color w:val="auto"/>
          <w:spacing w:val="-6"/>
          <w:sz w:val="24"/>
          <w:szCs w:val="24"/>
          <w:highlight w:val="none"/>
        </w:rPr>
        <w:t>、外形尺寸及允许偏差应符合GB/T4436-2012《铝及铝合金管材外形尺寸及允许偏差》中的规定。</w:t>
      </w:r>
    </w:p>
    <w:p w14:paraId="66E27FB2">
      <w:pPr>
        <w:rPr>
          <w:rFonts w:hint="eastAsia" w:asciiTheme="minorEastAsia" w:hAnsiTheme="minorEastAsia" w:eastAsiaTheme="minorEastAsia" w:cstheme="minorEastAsia"/>
          <w:color w:val="auto"/>
          <w:spacing w:val="-6"/>
          <w:sz w:val="24"/>
          <w:szCs w:val="24"/>
          <w:highlight w:val="none"/>
          <w:lang w:val="en-US" w:eastAsia="zh-CN"/>
        </w:rPr>
      </w:pPr>
      <w:r>
        <w:rPr>
          <w:rFonts w:hint="eastAsia" w:asciiTheme="minorEastAsia" w:hAnsiTheme="minorEastAsia" w:eastAsiaTheme="minorEastAsia" w:cstheme="minorEastAsia"/>
          <w:color w:val="auto"/>
          <w:spacing w:val="-6"/>
          <w:sz w:val="24"/>
          <w:szCs w:val="24"/>
          <w:highlight w:val="none"/>
        </w:rPr>
        <w:t>1</w:t>
      </w:r>
      <w:r>
        <w:rPr>
          <w:rFonts w:hint="eastAsia" w:asciiTheme="minorEastAsia" w:hAnsiTheme="minorEastAsia" w:eastAsiaTheme="minorEastAsia" w:cstheme="minorEastAsia"/>
          <w:color w:val="auto"/>
          <w:spacing w:val="-6"/>
          <w:sz w:val="24"/>
          <w:szCs w:val="24"/>
          <w:highlight w:val="none"/>
          <w:lang w:val="en-US" w:eastAsia="zh-CN"/>
        </w:rPr>
        <w:t>2</w:t>
      </w:r>
      <w:r>
        <w:rPr>
          <w:rFonts w:hint="eastAsia" w:asciiTheme="minorEastAsia" w:hAnsiTheme="minorEastAsia" w:eastAsiaTheme="minorEastAsia" w:cstheme="minorEastAsia"/>
          <w:color w:val="auto"/>
          <w:spacing w:val="-6"/>
          <w:sz w:val="24"/>
          <w:szCs w:val="24"/>
          <w:highlight w:val="none"/>
        </w:rPr>
        <w:t>、管道规格如下表：</w:t>
      </w:r>
      <w:r>
        <w:rPr>
          <w:rFonts w:hint="eastAsia" w:asciiTheme="minorEastAsia" w:hAnsiTheme="minorEastAsia" w:eastAsiaTheme="minorEastAsia" w:cstheme="minorEastAsia"/>
          <w:b/>
          <w:bCs/>
          <w:color w:val="auto"/>
          <w:spacing w:val="-6"/>
          <w:sz w:val="24"/>
          <w:szCs w:val="24"/>
          <w:highlight w:val="yellow"/>
          <w:lang w:val="en-US" w:eastAsia="zh-CN"/>
        </w:rPr>
        <w:t>为了保证生产安全和管径所通流量大小必须大于以下管内径及壁厚。</w:t>
      </w:r>
    </w:p>
    <w:tbl>
      <w:tblPr>
        <w:tblStyle w:val="3"/>
        <w:tblW w:w="619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58"/>
        <w:gridCol w:w="606"/>
        <w:gridCol w:w="607"/>
        <w:gridCol w:w="607"/>
        <w:gridCol w:w="607"/>
        <w:gridCol w:w="607"/>
        <w:gridCol w:w="607"/>
        <w:gridCol w:w="607"/>
        <w:gridCol w:w="705"/>
        <w:gridCol w:w="705"/>
        <w:gridCol w:w="705"/>
        <w:gridCol w:w="705"/>
      </w:tblGrid>
      <w:tr w14:paraId="70D720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1548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pacing w:val="-6"/>
                <w:sz w:val="24"/>
                <w:szCs w:val="24"/>
                <w:highlight w:val="none"/>
                <w:u w:val="none"/>
              </w:rPr>
            </w:pPr>
            <w:r>
              <w:rPr>
                <w:rFonts w:hint="eastAsia" w:asciiTheme="minorEastAsia" w:hAnsiTheme="minorEastAsia" w:eastAsiaTheme="minorEastAsia" w:cstheme="minorEastAsia"/>
                <w:i w:val="0"/>
                <w:iCs w:val="0"/>
                <w:color w:val="auto"/>
                <w:spacing w:val="-6"/>
                <w:kern w:val="0"/>
                <w:sz w:val="24"/>
                <w:szCs w:val="24"/>
                <w:highlight w:val="none"/>
                <w:u w:val="none"/>
                <w:lang w:val="en-US" w:eastAsia="zh-CN" w:bidi="ar"/>
              </w:rPr>
              <w:t>管径</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F2B1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pacing w:val="-6"/>
                <w:sz w:val="24"/>
                <w:szCs w:val="24"/>
                <w:highlight w:val="none"/>
                <w:u w:val="none"/>
              </w:rPr>
            </w:pPr>
            <w:r>
              <w:rPr>
                <w:rFonts w:hint="eastAsia" w:asciiTheme="minorEastAsia" w:hAnsiTheme="minorEastAsia" w:eastAsiaTheme="minorEastAsia" w:cstheme="minorEastAsia"/>
                <w:i w:val="0"/>
                <w:iCs w:val="0"/>
                <w:color w:val="auto"/>
                <w:spacing w:val="-6"/>
                <w:kern w:val="0"/>
                <w:sz w:val="24"/>
                <w:szCs w:val="24"/>
                <w:highlight w:val="none"/>
                <w:u w:val="none"/>
                <w:lang w:val="en-US" w:eastAsia="zh-CN" w:bidi="ar"/>
              </w:rPr>
              <w:t>De20</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4E09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pacing w:val="-6"/>
                <w:sz w:val="24"/>
                <w:szCs w:val="24"/>
                <w:highlight w:val="none"/>
                <w:u w:val="none"/>
              </w:rPr>
            </w:pPr>
            <w:r>
              <w:rPr>
                <w:rFonts w:hint="eastAsia" w:asciiTheme="minorEastAsia" w:hAnsiTheme="minorEastAsia" w:eastAsiaTheme="minorEastAsia" w:cstheme="minorEastAsia"/>
                <w:i w:val="0"/>
                <w:iCs w:val="0"/>
                <w:color w:val="auto"/>
                <w:spacing w:val="-6"/>
                <w:kern w:val="0"/>
                <w:sz w:val="24"/>
                <w:szCs w:val="24"/>
                <w:highlight w:val="none"/>
                <w:u w:val="none"/>
                <w:lang w:val="en-US" w:eastAsia="zh-CN" w:bidi="ar"/>
              </w:rPr>
              <w:t>De25</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BB07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pacing w:val="-6"/>
                <w:sz w:val="24"/>
                <w:szCs w:val="24"/>
                <w:highlight w:val="none"/>
                <w:u w:val="none"/>
              </w:rPr>
            </w:pPr>
            <w:r>
              <w:rPr>
                <w:rFonts w:hint="eastAsia" w:asciiTheme="minorEastAsia" w:hAnsiTheme="minorEastAsia" w:eastAsiaTheme="minorEastAsia" w:cstheme="minorEastAsia"/>
                <w:i w:val="0"/>
                <w:iCs w:val="0"/>
                <w:color w:val="auto"/>
                <w:spacing w:val="-6"/>
                <w:kern w:val="0"/>
                <w:sz w:val="24"/>
                <w:szCs w:val="24"/>
                <w:highlight w:val="none"/>
                <w:u w:val="none"/>
                <w:lang w:val="en-US" w:eastAsia="zh-CN" w:bidi="ar"/>
              </w:rPr>
              <w:t>De32</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53F4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pacing w:val="-6"/>
                <w:sz w:val="24"/>
                <w:szCs w:val="24"/>
                <w:highlight w:val="none"/>
                <w:u w:val="none"/>
              </w:rPr>
            </w:pPr>
            <w:r>
              <w:rPr>
                <w:rFonts w:hint="eastAsia" w:asciiTheme="minorEastAsia" w:hAnsiTheme="minorEastAsia" w:eastAsiaTheme="minorEastAsia" w:cstheme="minorEastAsia"/>
                <w:i w:val="0"/>
                <w:iCs w:val="0"/>
                <w:color w:val="auto"/>
                <w:spacing w:val="-6"/>
                <w:kern w:val="0"/>
                <w:sz w:val="24"/>
                <w:szCs w:val="24"/>
                <w:highlight w:val="none"/>
                <w:u w:val="none"/>
                <w:lang w:val="en-US" w:eastAsia="zh-CN" w:bidi="ar"/>
              </w:rPr>
              <w:t>De42</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5961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pacing w:val="-6"/>
                <w:sz w:val="24"/>
                <w:szCs w:val="24"/>
                <w:highlight w:val="none"/>
                <w:u w:val="none"/>
              </w:rPr>
            </w:pPr>
            <w:r>
              <w:rPr>
                <w:rFonts w:hint="eastAsia" w:asciiTheme="minorEastAsia" w:hAnsiTheme="minorEastAsia" w:eastAsiaTheme="minorEastAsia" w:cstheme="minorEastAsia"/>
                <w:i w:val="0"/>
                <w:iCs w:val="0"/>
                <w:color w:val="auto"/>
                <w:spacing w:val="-6"/>
                <w:kern w:val="0"/>
                <w:sz w:val="24"/>
                <w:szCs w:val="24"/>
                <w:highlight w:val="none"/>
                <w:u w:val="none"/>
                <w:lang w:val="en-US" w:eastAsia="zh-CN" w:bidi="ar"/>
              </w:rPr>
              <w:t>DN50</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F3C1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pacing w:val="-6"/>
                <w:sz w:val="24"/>
                <w:szCs w:val="24"/>
                <w:highlight w:val="none"/>
                <w:u w:val="none"/>
              </w:rPr>
            </w:pPr>
            <w:r>
              <w:rPr>
                <w:rFonts w:hint="eastAsia" w:asciiTheme="minorEastAsia" w:hAnsiTheme="minorEastAsia" w:eastAsiaTheme="minorEastAsia" w:cstheme="minorEastAsia"/>
                <w:i w:val="0"/>
                <w:iCs w:val="0"/>
                <w:color w:val="auto"/>
                <w:spacing w:val="-6"/>
                <w:kern w:val="0"/>
                <w:sz w:val="24"/>
                <w:szCs w:val="24"/>
                <w:highlight w:val="none"/>
                <w:u w:val="none"/>
                <w:lang w:val="en-US" w:eastAsia="zh-CN" w:bidi="ar"/>
              </w:rPr>
              <w:t>DN65</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E986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pacing w:val="-6"/>
                <w:sz w:val="24"/>
                <w:szCs w:val="24"/>
                <w:highlight w:val="none"/>
                <w:u w:val="none"/>
              </w:rPr>
            </w:pPr>
            <w:r>
              <w:rPr>
                <w:rFonts w:hint="eastAsia" w:asciiTheme="minorEastAsia" w:hAnsiTheme="minorEastAsia" w:eastAsiaTheme="minorEastAsia" w:cstheme="minorEastAsia"/>
                <w:i w:val="0"/>
                <w:iCs w:val="0"/>
                <w:color w:val="auto"/>
                <w:spacing w:val="-6"/>
                <w:kern w:val="0"/>
                <w:sz w:val="24"/>
                <w:szCs w:val="24"/>
                <w:highlight w:val="none"/>
                <w:u w:val="none"/>
                <w:lang w:val="en-US" w:eastAsia="zh-CN" w:bidi="ar"/>
              </w:rPr>
              <w:t>DN80</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9A7C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pacing w:val="-6"/>
                <w:sz w:val="24"/>
                <w:szCs w:val="24"/>
                <w:highlight w:val="none"/>
                <w:u w:val="none"/>
              </w:rPr>
            </w:pPr>
            <w:r>
              <w:rPr>
                <w:rFonts w:hint="eastAsia" w:asciiTheme="minorEastAsia" w:hAnsiTheme="minorEastAsia" w:eastAsiaTheme="minorEastAsia" w:cstheme="minorEastAsia"/>
                <w:i w:val="0"/>
                <w:iCs w:val="0"/>
                <w:color w:val="auto"/>
                <w:spacing w:val="-6"/>
                <w:kern w:val="0"/>
                <w:sz w:val="24"/>
                <w:szCs w:val="24"/>
                <w:highlight w:val="none"/>
                <w:u w:val="none"/>
                <w:lang w:val="en-US" w:eastAsia="zh-CN" w:bidi="ar"/>
              </w:rPr>
              <w:t>DN100</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67AF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pacing w:val="-6"/>
                <w:sz w:val="24"/>
                <w:szCs w:val="24"/>
                <w:highlight w:val="none"/>
                <w:u w:val="none"/>
              </w:rPr>
            </w:pPr>
            <w:r>
              <w:rPr>
                <w:rFonts w:hint="eastAsia" w:asciiTheme="minorEastAsia" w:hAnsiTheme="minorEastAsia" w:eastAsiaTheme="minorEastAsia" w:cstheme="minorEastAsia"/>
                <w:i w:val="0"/>
                <w:iCs w:val="0"/>
                <w:color w:val="auto"/>
                <w:spacing w:val="-6"/>
                <w:kern w:val="0"/>
                <w:sz w:val="24"/>
                <w:szCs w:val="24"/>
                <w:highlight w:val="none"/>
                <w:u w:val="none"/>
                <w:lang w:val="en-US" w:eastAsia="zh-CN" w:bidi="ar"/>
              </w:rPr>
              <w:t>DN125</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DB57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pacing w:val="-6"/>
                <w:sz w:val="24"/>
                <w:szCs w:val="24"/>
                <w:highlight w:val="none"/>
                <w:u w:val="none"/>
              </w:rPr>
            </w:pPr>
            <w:r>
              <w:rPr>
                <w:rFonts w:hint="eastAsia" w:asciiTheme="minorEastAsia" w:hAnsiTheme="minorEastAsia" w:eastAsiaTheme="minorEastAsia" w:cstheme="minorEastAsia"/>
                <w:i w:val="0"/>
                <w:iCs w:val="0"/>
                <w:color w:val="auto"/>
                <w:spacing w:val="-6"/>
                <w:kern w:val="0"/>
                <w:sz w:val="24"/>
                <w:szCs w:val="24"/>
                <w:highlight w:val="none"/>
                <w:u w:val="none"/>
                <w:lang w:val="en-US" w:eastAsia="zh-CN" w:bidi="ar"/>
              </w:rPr>
              <w:t>DN150</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272D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pacing w:val="-6"/>
                <w:sz w:val="24"/>
                <w:szCs w:val="24"/>
                <w:highlight w:val="none"/>
                <w:u w:val="none"/>
              </w:rPr>
            </w:pPr>
            <w:r>
              <w:rPr>
                <w:rFonts w:hint="eastAsia" w:asciiTheme="minorEastAsia" w:hAnsiTheme="minorEastAsia" w:eastAsiaTheme="minorEastAsia" w:cstheme="minorEastAsia"/>
                <w:i w:val="0"/>
                <w:iCs w:val="0"/>
                <w:color w:val="auto"/>
                <w:spacing w:val="-6"/>
                <w:kern w:val="0"/>
                <w:sz w:val="24"/>
                <w:szCs w:val="24"/>
                <w:highlight w:val="none"/>
                <w:u w:val="none"/>
                <w:lang w:val="en-US" w:eastAsia="zh-CN" w:bidi="ar"/>
              </w:rPr>
              <w:t>DN200</w:t>
            </w:r>
          </w:p>
        </w:tc>
      </w:tr>
      <w:tr w14:paraId="7DABB1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2112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pacing w:val="-6"/>
                <w:sz w:val="24"/>
                <w:szCs w:val="24"/>
                <w:highlight w:val="none"/>
                <w:u w:val="none"/>
              </w:rPr>
            </w:pPr>
            <w:r>
              <w:rPr>
                <w:rFonts w:hint="eastAsia" w:asciiTheme="minorEastAsia" w:hAnsiTheme="minorEastAsia" w:eastAsiaTheme="minorEastAsia" w:cstheme="minorEastAsia"/>
                <w:i w:val="0"/>
                <w:iCs w:val="0"/>
                <w:color w:val="auto"/>
                <w:spacing w:val="-6"/>
                <w:kern w:val="0"/>
                <w:sz w:val="24"/>
                <w:szCs w:val="24"/>
                <w:highlight w:val="none"/>
                <w:u w:val="none"/>
                <w:lang w:val="en-US" w:eastAsia="zh-CN" w:bidi="ar"/>
              </w:rPr>
              <w:t xml:space="preserve">壁厚 ≥ （ </w:t>
            </w:r>
            <w:r>
              <w:rPr>
                <w:rStyle w:val="6"/>
                <w:rFonts w:hint="eastAsia" w:asciiTheme="minorEastAsia" w:hAnsiTheme="minorEastAsia" w:eastAsiaTheme="minorEastAsia" w:cstheme="minorEastAsia"/>
                <w:color w:val="auto"/>
                <w:spacing w:val="-6"/>
                <w:sz w:val="24"/>
                <w:szCs w:val="24"/>
                <w:highlight w:val="none"/>
                <w:lang w:val="en-US" w:eastAsia="zh-CN" w:bidi="ar"/>
              </w:rPr>
              <w:t>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066D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pacing w:val="-6"/>
                <w:sz w:val="24"/>
                <w:szCs w:val="24"/>
                <w:highlight w:val="none"/>
                <w:u w:val="none"/>
              </w:rPr>
            </w:pPr>
            <w:r>
              <w:rPr>
                <w:rFonts w:hint="eastAsia" w:asciiTheme="minorEastAsia" w:hAnsiTheme="minorEastAsia" w:eastAsiaTheme="minorEastAsia" w:cstheme="minorEastAsia"/>
                <w:i w:val="0"/>
                <w:iCs w:val="0"/>
                <w:color w:val="auto"/>
                <w:spacing w:val="-6"/>
                <w:kern w:val="0"/>
                <w:sz w:val="24"/>
                <w:szCs w:val="24"/>
                <w:highlight w:val="none"/>
                <w:u w:val="none"/>
                <w:lang w:val="en-US" w:eastAsia="zh-CN" w:bidi="ar"/>
              </w:rPr>
              <w:t>1.45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6962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pacing w:val="-6"/>
                <w:sz w:val="24"/>
                <w:szCs w:val="24"/>
                <w:highlight w:val="none"/>
                <w:u w:val="none"/>
              </w:rPr>
            </w:pPr>
            <w:r>
              <w:rPr>
                <w:rFonts w:hint="eastAsia" w:asciiTheme="minorEastAsia" w:hAnsiTheme="minorEastAsia" w:eastAsiaTheme="minorEastAsia" w:cstheme="minorEastAsia"/>
                <w:i w:val="0"/>
                <w:iCs w:val="0"/>
                <w:color w:val="auto"/>
                <w:spacing w:val="-6"/>
                <w:kern w:val="0"/>
                <w:sz w:val="24"/>
                <w:szCs w:val="24"/>
                <w:highlight w:val="none"/>
                <w:u w:val="none"/>
                <w:lang w:val="en-US" w:eastAsia="zh-CN" w:bidi="ar"/>
              </w:rPr>
              <w:t>1.45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1E45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pacing w:val="-6"/>
                <w:sz w:val="24"/>
                <w:szCs w:val="24"/>
                <w:highlight w:val="none"/>
                <w:u w:val="none"/>
              </w:rPr>
            </w:pPr>
            <w:r>
              <w:rPr>
                <w:rFonts w:hint="eastAsia" w:asciiTheme="minorEastAsia" w:hAnsiTheme="minorEastAsia" w:eastAsiaTheme="minorEastAsia" w:cstheme="minorEastAsia"/>
                <w:i w:val="0"/>
                <w:iCs w:val="0"/>
                <w:color w:val="auto"/>
                <w:spacing w:val="-6"/>
                <w:kern w:val="0"/>
                <w:sz w:val="24"/>
                <w:szCs w:val="24"/>
                <w:highlight w:val="none"/>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0839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pacing w:val="-6"/>
                <w:sz w:val="24"/>
                <w:szCs w:val="24"/>
                <w:highlight w:val="none"/>
                <w:u w:val="none"/>
              </w:rPr>
            </w:pPr>
            <w:r>
              <w:rPr>
                <w:rFonts w:hint="eastAsia" w:asciiTheme="minorEastAsia" w:hAnsiTheme="minorEastAsia" w:eastAsiaTheme="minorEastAsia" w:cstheme="minorEastAsia"/>
                <w:i w:val="0"/>
                <w:iCs w:val="0"/>
                <w:color w:val="auto"/>
                <w:spacing w:val="-6"/>
                <w:kern w:val="0"/>
                <w:sz w:val="24"/>
                <w:szCs w:val="24"/>
                <w:highlight w:val="none"/>
                <w:u w:val="none"/>
                <w:lang w:val="en-US" w:eastAsia="zh-CN" w:bidi="ar"/>
              </w:rPr>
              <w:t>1.90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8379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pacing w:val="-6"/>
                <w:sz w:val="24"/>
                <w:szCs w:val="24"/>
                <w:highlight w:val="none"/>
                <w:u w:val="none"/>
              </w:rPr>
            </w:pPr>
            <w:r>
              <w:rPr>
                <w:rFonts w:hint="eastAsia" w:asciiTheme="minorEastAsia" w:hAnsiTheme="minorEastAsia" w:eastAsiaTheme="minorEastAsia" w:cstheme="minorEastAsia"/>
                <w:i w:val="0"/>
                <w:iCs w:val="0"/>
                <w:color w:val="auto"/>
                <w:spacing w:val="-6"/>
                <w:kern w:val="0"/>
                <w:sz w:val="24"/>
                <w:szCs w:val="24"/>
                <w:highlight w:val="none"/>
                <w:u w:val="none"/>
                <w:lang w:val="en-US" w:eastAsia="zh-CN" w:bidi="ar"/>
              </w:rPr>
              <w:t>2.10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9E5A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pacing w:val="-6"/>
                <w:sz w:val="24"/>
                <w:szCs w:val="24"/>
                <w:highlight w:val="none"/>
                <w:u w:val="none"/>
              </w:rPr>
            </w:pPr>
            <w:r>
              <w:rPr>
                <w:rFonts w:hint="eastAsia" w:asciiTheme="minorEastAsia" w:hAnsiTheme="minorEastAsia" w:eastAsiaTheme="minorEastAsia" w:cstheme="minorEastAsia"/>
                <w:i w:val="0"/>
                <w:iCs w:val="0"/>
                <w:color w:val="auto"/>
                <w:spacing w:val="-6"/>
                <w:kern w:val="0"/>
                <w:sz w:val="24"/>
                <w:szCs w:val="24"/>
                <w:highlight w:val="none"/>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D17A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pacing w:val="-6"/>
                <w:sz w:val="24"/>
                <w:szCs w:val="24"/>
                <w:highlight w:val="none"/>
                <w:u w:val="none"/>
              </w:rPr>
            </w:pPr>
            <w:r>
              <w:rPr>
                <w:rFonts w:hint="eastAsia" w:asciiTheme="minorEastAsia" w:hAnsiTheme="minorEastAsia" w:eastAsiaTheme="minorEastAsia" w:cstheme="minorEastAsia"/>
                <w:i w:val="0"/>
                <w:iCs w:val="0"/>
                <w:color w:val="auto"/>
                <w:spacing w:val="-6"/>
                <w:kern w:val="0"/>
                <w:sz w:val="24"/>
                <w:szCs w:val="24"/>
                <w:highlight w:val="none"/>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3665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pacing w:val="-6"/>
                <w:sz w:val="24"/>
                <w:szCs w:val="24"/>
                <w:highlight w:val="none"/>
                <w:u w:val="none"/>
              </w:rPr>
            </w:pPr>
            <w:r>
              <w:rPr>
                <w:rFonts w:hint="eastAsia" w:asciiTheme="minorEastAsia" w:hAnsiTheme="minorEastAsia" w:eastAsiaTheme="minorEastAsia" w:cstheme="minorEastAsia"/>
                <w:i w:val="0"/>
                <w:iCs w:val="0"/>
                <w:color w:val="auto"/>
                <w:spacing w:val="-6"/>
                <w:kern w:val="0"/>
                <w:sz w:val="24"/>
                <w:szCs w:val="24"/>
                <w:highlight w:val="none"/>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F4B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pacing w:val="-6"/>
                <w:sz w:val="24"/>
                <w:szCs w:val="24"/>
                <w:highlight w:val="none"/>
                <w:u w:val="none"/>
              </w:rPr>
            </w:pPr>
            <w:r>
              <w:rPr>
                <w:rFonts w:hint="eastAsia" w:asciiTheme="minorEastAsia" w:hAnsiTheme="minorEastAsia" w:eastAsiaTheme="minorEastAsia" w:cstheme="minorEastAsia"/>
                <w:i w:val="0"/>
                <w:iCs w:val="0"/>
                <w:color w:val="auto"/>
                <w:spacing w:val="-6"/>
                <w:kern w:val="0"/>
                <w:sz w:val="24"/>
                <w:szCs w:val="24"/>
                <w:highlight w:val="none"/>
                <w:u w:val="none"/>
                <w:lang w:val="en-US" w:eastAsia="zh-CN" w:bidi="ar"/>
              </w:rPr>
              <w:t>2.75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490D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pacing w:val="-6"/>
                <w:sz w:val="24"/>
                <w:szCs w:val="24"/>
                <w:highlight w:val="none"/>
                <w:u w:val="none"/>
              </w:rPr>
            </w:pPr>
            <w:r>
              <w:rPr>
                <w:rFonts w:hint="eastAsia" w:asciiTheme="minorEastAsia" w:hAnsiTheme="minorEastAsia" w:eastAsiaTheme="minorEastAsia" w:cstheme="minorEastAsia"/>
                <w:i w:val="0"/>
                <w:iCs w:val="0"/>
                <w:color w:val="auto"/>
                <w:spacing w:val="-6"/>
                <w:kern w:val="0"/>
                <w:sz w:val="24"/>
                <w:szCs w:val="24"/>
                <w:highlight w:val="none"/>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B81A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pacing w:val="-6"/>
                <w:sz w:val="24"/>
                <w:szCs w:val="24"/>
                <w:highlight w:val="none"/>
                <w:u w:val="none"/>
              </w:rPr>
            </w:pPr>
            <w:r>
              <w:rPr>
                <w:rFonts w:hint="eastAsia" w:asciiTheme="minorEastAsia" w:hAnsiTheme="minorEastAsia" w:eastAsiaTheme="minorEastAsia" w:cstheme="minorEastAsia"/>
                <w:i w:val="0"/>
                <w:iCs w:val="0"/>
                <w:color w:val="auto"/>
                <w:spacing w:val="-6"/>
                <w:kern w:val="0"/>
                <w:sz w:val="24"/>
                <w:szCs w:val="24"/>
                <w:highlight w:val="none"/>
                <w:u w:val="none"/>
                <w:lang w:val="en-US" w:eastAsia="zh-CN" w:bidi="ar"/>
              </w:rPr>
              <w:t>3.20</w:t>
            </w:r>
          </w:p>
        </w:tc>
      </w:tr>
    </w:tbl>
    <w:p w14:paraId="0A7DB765">
      <w:pPr>
        <w:rPr>
          <w:rFonts w:hint="eastAsia" w:asciiTheme="minorEastAsia" w:hAnsiTheme="minorEastAsia" w:eastAsiaTheme="minorEastAsia" w:cstheme="minorEastAsia"/>
          <w:color w:val="auto"/>
          <w:spacing w:val="-6"/>
          <w:sz w:val="24"/>
          <w:szCs w:val="24"/>
          <w:highlight w:val="none"/>
        </w:rPr>
      </w:pPr>
    </w:p>
    <w:p w14:paraId="32F371CD">
      <w:pPr>
        <w:rPr>
          <w:rFonts w:hint="eastAsia" w:asciiTheme="minorEastAsia" w:hAnsiTheme="minorEastAsia" w:eastAsiaTheme="minorEastAsia" w:cstheme="minorEastAsia"/>
          <w:color w:val="auto"/>
          <w:spacing w:val="-6"/>
          <w:sz w:val="24"/>
          <w:szCs w:val="24"/>
          <w:highlight w:val="none"/>
        </w:rPr>
      </w:pPr>
      <w:r>
        <w:rPr>
          <w:rFonts w:hint="eastAsia" w:asciiTheme="minorEastAsia" w:hAnsiTheme="minorEastAsia" w:eastAsiaTheme="minorEastAsia" w:cstheme="minorEastAsia"/>
          <w:color w:val="auto"/>
          <w:spacing w:val="-6"/>
          <w:sz w:val="24"/>
          <w:szCs w:val="24"/>
          <w:highlight w:val="none"/>
        </w:rPr>
        <w:t>1</w:t>
      </w:r>
      <w:r>
        <w:rPr>
          <w:rFonts w:hint="eastAsia" w:asciiTheme="minorEastAsia" w:hAnsiTheme="minorEastAsia" w:eastAsiaTheme="minorEastAsia" w:cstheme="minorEastAsia"/>
          <w:color w:val="auto"/>
          <w:spacing w:val="-6"/>
          <w:sz w:val="24"/>
          <w:szCs w:val="24"/>
          <w:highlight w:val="none"/>
          <w:lang w:val="en-US" w:eastAsia="zh-CN"/>
        </w:rPr>
        <w:t>3</w:t>
      </w:r>
      <w:r>
        <w:rPr>
          <w:rFonts w:hint="eastAsia" w:asciiTheme="minorEastAsia" w:hAnsiTheme="minorEastAsia" w:eastAsiaTheme="minorEastAsia" w:cstheme="minorEastAsia"/>
          <w:color w:val="auto"/>
          <w:spacing w:val="-6"/>
          <w:sz w:val="24"/>
          <w:szCs w:val="24"/>
          <w:highlight w:val="none"/>
        </w:rPr>
        <w:t>、所有送抵工地的管材、管件、阀门及附件均应是全新制成品，并附有明显的标志以便辨别其规格和压力等级。</w:t>
      </w:r>
    </w:p>
    <w:p w14:paraId="58EE1CC0">
      <w:pPr>
        <w:rPr>
          <w:rFonts w:hint="eastAsia" w:asciiTheme="minorEastAsia" w:hAnsiTheme="minorEastAsia" w:eastAsiaTheme="minorEastAsia" w:cstheme="minorEastAsia"/>
          <w:color w:val="auto"/>
          <w:spacing w:val="-6"/>
          <w:sz w:val="24"/>
          <w:szCs w:val="24"/>
          <w:highlight w:val="none"/>
        </w:rPr>
      </w:pPr>
      <w:r>
        <w:rPr>
          <w:rFonts w:hint="eastAsia" w:asciiTheme="minorEastAsia" w:hAnsiTheme="minorEastAsia" w:eastAsiaTheme="minorEastAsia" w:cstheme="minorEastAsia"/>
          <w:color w:val="auto"/>
          <w:spacing w:val="-6"/>
          <w:sz w:val="24"/>
          <w:szCs w:val="24"/>
          <w:highlight w:val="none"/>
          <w:lang w:val="en-US" w:eastAsia="zh-CN"/>
        </w:rPr>
        <w:t>14</w:t>
      </w:r>
      <w:r>
        <w:rPr>
          <w:rFonts w:hint="eastAsia" w:asciiTheme="minorEastAsia" w:hAnsiTheme="minorEastAsia" w:eastAsiaTheme="minorEastAsia" w:cstheme="minorEastAsia"/>
          <w:color w:val="auto"/>
          <w:spacing w:val="-6"/>
          <w:sz w:val="24"/>
          <w:szCs w:val="24"/>
          <w:highlight w:val="none"/>
        </w:rPr>
        <w:t>、施工验收规范符合下面规范：</w:t>
      </w:r>
    </w:p>
    <w:p w14:paraId="4068211E">
      <w:pPr>
        <w:rPr>
          <w:rFonts w:hint="eastAsia" w:asciiTheme="minorEastAsia" w:hAnsiTheme="minorEastAsia" w:eastAsiaTheme="minorEastAsia" w:cstheme="minorEastAsia"/>
          <w:color w:val="auto"/>
          <w:spacing w:val="-6"/>
          <w:sz w:val="24"/>
          <w:szCs w:val="24"/>
          <w:highlight w:val="none"/>
        </w:rPr>
      </w:pPr>
      <w:r>
        <w:rPr>
          <w:rFonts w:hint="eastAsia" w:asciiTheme="minorEastAsia" w:hAnsiTheme="minorEastAsia" w:eastAsiaTheme="minorEastAsia" w:cstheme="minorEastAsia"/>
          <w:color w:val="auto"/>
          <w:spacing w:val="-6"/>
          <w:sz w:val="24"/>
          <w:szCs w:val="24"/>
          <w:highlight w:val="none"/>
        </w:rPr>
        <w:t>1）.Q/FST 1—2020输送压缩气体及真空管道用铝合金管</w:t>
      </w:r>
    </w:p>
    <w:p w14:paraId="334F2FF1">
      <w:pPr>
        <w:rPr>
          <w:rFonts w:hint="eastAsia" w:asciiTheme="minorEastAsia" w:hAnsiTheme="minorEastAsia" w:eastAsiaTheme="minorEastAsia" w:cstheme="minorEastAsia"/>
          <w:color w:val="auto"/>
          <w:spacing w:val="-6"/>
          <w:sz w:val="24"/>
          <w:szCs w:val="24"/>
        </w:rPr>
      </w:pPr>
      <w:r>
        <w:rPr>
          <w:rFonts w:hint="eastAsia" w:asciiTheme="minorEastAsia" w:hAnsiTheme="minorEastAsia" w:eastAsiaTheme="minorEastAsia" w:cstheme="minorEastAsia"/>
          <w:color w:val="auto"/>
          <w:spacing w:val="-6"/>
          <w:sz w:val="24"/>
          <w:szCs w:val="24"/>
        </w:rPr>
        <w:t>2）.Q/FST 2—2020输送压缩气体用管件；</w:t>
      </w:r>
    </w:p>
    <w:p w14:paraId="3DE3382D">
      <w:pPr>
        <w:rPr>
          <w:rFonts w:hint="eastAsia" w:asciiTheme="minorEastAsia" w:hAnsiTheme="minorEastAsia" w:eastAsiaTheme="minorEastAsia" w:cstheme="minorEastAsia"/>
          <w:color w:val="auto"/>
          <w:spacing w:val="-6"/>
          <w:sz w:val="24"/>
          <w:szCs w:val="24"/>
        </w:rPr>
      </w:pPr>
      <w:r>
        <w:rPr>
          <w:rFonts w:hint="eastAsia" w:asciiTheme="minorEastAsia" w:hAnsiTheme="minorEastAsia" w:eastAsiaTheme="minorEastAsia" w:cstheme="minorEastAsia"/>
          <w:color w:val="auto"/>
          <w:spacing w:val="-6"/>
          <w:sz w:val="24"/>
          <w:szCs w:val="24"/>
        </w:rPr>
        <w:t>3）.GB/50235-1997《工业管道工程施工及验收规范》；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公文小标宋">
    <w:panose1 w:val="02000500000000000000"/>
    <w:charset w:val="86"/>
    <w:family w:val="auto"/>
    <w:pitch w:val="default"/>
    <w:sig w:usb0="A00002BF" w:usb1="38CF7CFA" w:usb2="00000016" w:usb3="00000000" w:csb0="00040001" w:csb1="00000000"/>
    <w:embedRegular r:id="rId1" w:fontKey="{450FCED9-D9B2-473B-8F9F-378CC6C78C00}"/>
  </w:font>
  <w:font w:name="方正小标宋简体">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3N2E0NzQ4NjY3ZTFmMWFmYmUyMzZlZjNlZTVkMTEifQ=="/>
  </w:docVars>
  <w:rsids>
    <w:rsidRoot w:val="00000000"/>
    <w:rsid w:val="098A46BA"/>
    <w:rsid w:val="0CA15496"/>
    <w:rsid w:val="1D907A01"/>
    <w:rsid w:val="1DA90821"/>
    <w:rsid w:val="23C91E2B"/>
    <w:rsid w:val="36483084"/>
    <w:rsid w:val="3C206083"/>
    <w:rsid w:val="3EA07493"/>
    <w:rsid w:val="3F27153F"/>
    <w:rsid w:val="43B81B6F"/>
    <w:rsid w:val="47F210A1"/>
    <w:rsid w:val="4BF9129D"/>
    <w:rsid w:val="570744AD"/>
    <w:rsid w:val="59C75EEA"/>
    <w:rsid w:val="62A50D92"/>
    <w:rsid w:val="675C4932"/>
    <w:rsid w:val="67B456DA"/>
    <w:rsid w:val="68CB1B40"/>
    <w:rsid w:val="68FE744E"/>
    <w:rsid w:val="6AEC461F"/>
    <w:rsid w:val="6B20076A"/>
    <w:rsid w:val="75D761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
    <w:name w:val="font21"/>
    <w:basedOn w:val="5"/>
    <w:qFormat/>
    <w:uiPriority w:val="0"/>
    <w:rPr>
      <w:rFonts w:ascii="Calibri" w:hAnsi="Calibri" w:cs="Calibri"/>
      <w:color w:val="000000"/>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874</Words>
  <Characters>1077</Characters>
  <Lines>0</Lines>
  <Paragraphs>0</Paragraphs>
  <TotalTime>38</TotalTime>
  <ScaleCrop>false</ScaleCrop>
  <LinksUpToDate>false</LinksUpToDate>
  <CharactersWithSpaces>1087</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2022-04-17T05:21:00Z</dcterms:created>
  <dc:creator>Administrator</dc:creator>
  <cp:lastModifiedBy>GROWTH</cp:lastModifiedBy>
  <dcterms:modified xsi:type="dcterms:W3CDTF">2024-07-03T14:38:50Z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6BE6BAFEAE344CA6884C8283068DD8AE</vt:lpwstr>
  </property>
</Properties>
</file>